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电动自行车</w:t>
      </w:r>
      <w:r>
        <w:rPr>
          <w:rFonts w:hint="eastAsia" w:ascii="Times New Roman" w:hAnsi="Times New Roman" w:eastAsia="方正小标宋简体" w:cs="方正仿宋简体"/>
          <w:color w:val="000000"/>
          <w:sz w:val="32"/>
          <w:szCs w:val="32"/>
          <w:lang w:val="en-US" w:eastAsia="zh-CN"/>
        </w:rPr>
        <w:t>用</w:t>
      </w:r>
      <w:bookmarkStart w:id="0" w:name="_GoBack"/>
      <w:bookmarkEnd w:id="0"/>
      <w:r>
        <w:rPr>
          <w:rFonts w:hint="eastAsia" w:ascii="Times New Roman" w:hAnsi="Times New Roman" w:eastAsia="方正小标宋简体" w:cs="方正仿宋简体"/>
          <w:color w:val="000000"/>
          <w:sz w:val="32"/>
          <w:szCs w:val="32"/>
          <w:lang w:eastAsia="zh-CN"/>
        </w:rPr>
        <w:t>充电器</w:t>
      </w:r>
      <w:r>
        <w:rPr>
          <w:rFonts w:hint="eastAsia" w:ascii="Times New Roman" w:hAnsi="Times New Roman" w:eastAsia="方正小标宋简体" w:cs="方正仿宋简体"/>
          <w:color w:val="000000"/>
          <w:sz w:val="32"/>
          <w:szCs w:val="32"/>
        </w:rPr>
        <w:t>产品质量监督抽查实施细则</w:t>
      </w:r>
    </w:p>
    <w:p w14:paraId="04835BC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DA311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highlight w:val="none"/>
          <w:lang w:val="en-US" w:eastAsia="zh-CN"/>
        </w:rPr>
        <w:t>3</w:t>
      </w:r>
      <w:r>
        <w:rPr>
          <w:rFonts w:hint="eastAsia" w:ascii="Times New Roman" w:hAnsi="Times New Roman" w:eastAsia="宋体" w:cs="宋体"/>
          <w:sz w:val="22"/>
          <w:szCs w:val="28"/>
          <w:highlight w:val="none"/>
        </w:rPr>
        <w:t>个，</w:t>
      </w:r>
      <w:r>
        <w:rPr>
          <w:rFonts w:hint="eastAsia" w:ascii="Times New Roman" w:hAnsi="Times New Roman" w:eastAsia="宋体" w:cs="宋体"/>
          <w:sz w:val="22"/>
          <w:szCs w:val="28"/>
          <w:highlight w:val="none"/>
          <w:lang w:val="en-US" w:eastAsia="zh-CN"/>
        </w:rPr>
        <w:t>2</w:t>
      </w:r>
      <w:r>
        <w:rPr>
          <w:rFonts w:hint="eastAsia" w:ascii="Times New Roman" w:hAnsi="Times New Roman" w:eastAsia="宋体" w:cs="宋体"/>
          <w:sz w:val="22"/>
          <w:szCs w:val="28"/>
        </w:rPr>
        <w:t>个为检验用样品，另</w:t>
      </w:r>
      <w:r>
        <w:rPr>
          <w:rFonts w:hint="eastAsia" w:ascii="Times New Roman" w:hAnsi="Times New Roman" w:eastAsia="宋体" w:cs="宋体"/>
          <w:sz w:val="22"/>
          <w:szCs w:val="28"/>
          <w:lang w:val="en-US" w:eastAsia="zh-CN"/>
        </w:rPr>
        <w:t>1</w:t>
      </w:r>
      <w:r>
        <w:rPr>
          <w:rFonts w:hint="eastAsia" w:ascii="Times New Roman" w:hAnsi="Times New Roman" w:eastAsia="宋体" w:cs="宋体"/>
          <w:sz w:val="22"/>
          <w:szCs w:val="28"/>
        </w:rPr>
        <w:t>个为备用样品。</w:t>
      </w:r>
    </w:p>
    <w:p w14:paraId="3AFBC116">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4C54514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黑体" w:cs="黑体"/>
          <w:sz w:val="22"/>
          <w:szCs w:val="28"/>
          <w:lang w:val="en-US" w:eastAsia="zh-CN"/>
        </w:rPr>
        <w:t>2 检验依据</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1864"/>
        <w:gridCol w:w="2220"/>
        <w:gridCol w:w="2220"/>
        <w:gridCol w:w="2222"/>
      </w:tblGrid>
      <w:tr w14:paraId="3A66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71CF9EA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2"/>
                <w:vertAlign w:val="baseline"/>
                <w:lang w:val="en-US" w:eastAsia="zh-CN"/>
              </w:rPr>
            </w:pPr>
            <w:r>
              <w:rPr>
                <w:rFonts w:hint="default" w:ascii="Times New Roman" w:hAnsi="Times New Roman" w:eastAsia="宋体" w:cs="Times New Roman"/>
                <w:sz w:val="22"/>
                <w:szCs w:val="22"/>
                <w:vertAlign w:val="baseline"/>
                <w:lang w:val="en-US" w:eastAsia="zh-CN"/>
              </w:rPr>
              <w:t>序号</w:t>
            </w:r>
          </w:p>
        </w:tc>
        <w:tc>
          <w:tcPr>
            <w:tcW w:w="1029" w:type="pct"/>
            <w:vAlign w:val="center"/>
          </w:tcPr>
          <w:p w14:paraId="4C7BD6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2"/>
                <w:vertAlign w:val="baseline"/>
                <w:lang w:val="en-US" w:eastAsia="zh-CN"/>
              </w:rPr>
            </w:pPr>
            <w:r>
              <w:rPr>
                <w:rFonts w:hint="default" w:ascii="Times New Roman" w:hAnsi="Times New Roman" w:eastAsia="宋体" w:cs="Times New Roman"/>
                <w:sz w:val="22"/>
                <w:szCs w:val="22"/>
                <w:vertAlign w:val="baseline"/>
                <w:lang w:val="en-US" w:eastAsia="zh-CN"/>
              </w:rPr>
              <w:t>检验项目</w:t>
            </w:r>
          </w:p>
        </w:tc>
        <w:tc>
          <w:tcPr>
            <w:tcW w:w="1225" w:type="pct"/>
            <w:vAlign w:val="center"/>
          </w:tcPr>
          <w:p w14:paraId="285AF1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2"/>
                <w:vertAlign w:val="baseline"/>
                <w:lang w:val="en-US" w:eastAsia="zh-CN"/>
              </w:rPr>
            </w:pPr>
            <w:r>
              <w:rPr>
                <w:rFonts w:hint="default" w:ascii="Times New Roman" w:hAnsi="Times New Roman" w:eastAsia="宋体" w:cs="Times New Roman"/>
                <w:sz w:val="22"/>
                <w:szCs w:val="22"/>
                <w:vertAlign w:val="baseline"/>
                <w:lang w:val="en-US" w:eastAsia="zh-CN"/>
              </w:rPr>
              <w:t>检验依据</w:t>
            </w:r>
          </w:p>
        </w:tc>
        <w:tc>
          <w:tcPr>
            <w:tcW w:w="1225" w:type="pct"/>
            <w:vAlign w:val="center"/>
          </w:tcPr>
          <w:p w14:paraId="63D956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2"/>
                <w:vertAlign w:val="baseline"/>
              </w:rPr>
            </w:pPr>
            <w:r>
              <w:rPr>
                <w:rFonts w:hint="default" w:ascii="Times New Roman" w:hAnsi="Times New Roman" w:eastAsia="宋体" w:cs="Times New Roman"/>
                <w:sz w:val="22"/>
                <w:szCs w:val="22"/>
                <w:vertAlign w:val="baseline"/>
              </w:rPr>
              <w:t>检验</w:t>
            </w:r>
            <w:r>
              <w:rPr>
                <w:rFonts w:hint="default" w:ascii="Times New Roman" w:hAnsi="Times New Roman" w:eastAsia="宋体" w:cs="Times New Roman"/>
                <w:sz w:val="22"/>
                <w:szCs w:val="22"/>
                <w:vertAlign w:val="baseline"/>
                <w:lang w:val="en-US" w:eastAsia="zh-CN"/>
              </w:rPr>
              <w:t>方法</w:t>
            </w:r>
          </w:p>
        </w:tc>
        <w:tc>
          <w:tcPr>
            <w:tcW w:w="1226" w:type="pct"/>
            <w:vAlign w:val="center"/>
          </w:tcPr>
          <w:p w14:paraId="696350D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2"/>
                <w:vertAlign w:val="baseline"/>
                <w:lang w:val="en-US" w:eastAsia="zh-CN"/>
              </w:rPr>
            </w:pPr>
            <w:r>
              <w:rPr>
                <w:rFonts w:hint="default" w:ascii="Times New Roman" w:hAnsi="Times New Roman" w:eastAsia="宋体" w:cs="Times New Roman"/>
                <w:sz w:val="22"/>
                <w:szCs w:val="22"/>
                <w:vertAlign w:val="baseline"/>
                <w:lang w:val="en-US" w:eastAsia="zh-CN"/>
              </w:rPr>
              <w:t>备注</w:t>
            </w:r>
          </w:p>
        </w:tc>
      </w:tr>
      <w:tr w14:paraId="6514E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130266B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2"/>
                <w:vertAlign w:val="baseline"/>
                <w:lang w:val="en-US" w:eastAsia="zh-CN"/>
              </w:rPr>
            </w:pPr>
            <w:r>
              <w:rPr>
                <w:rFonts w:hint="default" w:ascii="Times New Roman" w:hAnsi="Times New Roman" w:eastAsia="宋体" w:cs="Times New Roman"/>
                <w:sz w:val="22"/>
                <w:szCs w:val="22"/>
                <w:vertAlign w:val="baseline"/>
                <w:lang w:val="en-US" w:eastAsia="zh-CN"/>
              </w:rPr>
              <w:t>1</w:t>
            </w:r>
          </w:p>
        </w:tc>
        <w:tc>
          <w:tcPr>
            <w:tcW w:w="1029" w:type="pct"/>
            <w:shd w:val="clear" w:color="auto" w:fill="auto"/>
            <w:vAlign w:val="center"/>
          </w:tcPr>
          <w:p w14:paraId="27FDB89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外壳冲击</w:t>
            </w:r>
          </w:p>
        </w:tc>
        <w:tc>
          <w:tcPr>
            <w:tcW w:w="1225" w:type="pct"/>
            <w:shd w:val="clear" w:color="auto" w:fill="auto"/>
            <w:vAlign w:val="center"/>
          </w:tcPr>
          <w:p w14:paraId="300118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shd w:val="clear" w:color="auto" w:fill="auto"/>
            <w:vAlign w:val="center"/>
          </w:tcPr>
          <w:p w14:paraId="083162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shd w:val="clear" w:color="auto" w:fill="auto"/>
            <w:vAlign w:val="center"/>
          </w:tcPr>
          <w:p w14:paraId="199ABDA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54A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4796F3FF">
            <w:pPr>
              <w:keepNext w:val="0"/>
              <w:keepLines w:val="0"/>
              <w:widowControl/>
              <w:suppressLineNumbers w:val="0"/>
              <w:jc w:val="center"/>
              <w:textAlignment w:val="center"/>
              <w:rPr>
                <w:rFonts w:hint="default" w:ascii="Times New Roman" w:hAnsi="Times New Roman" w:eastAsia="宋体" w:cs="Times New Roman"/>
                <w:sz w:val="22"/>
                <w:szCs w:val="22"/>
                <w:vertAlign w:val="baseline"/>
                <w:lang w:val="en-US" w:eastAsia="zh-CN"/>
              </w:rPr>
            </w:pPr>
            <w:r>
              <w:rPr>
                <w:rFonts w:hint="default" w:ascii="Times New Roman" w:hAnsi="Times New Roman" w:eastAsia="宋体" w:cs="Times New Roman"/>
                <w:sz w:val="22"/>
                <w:szCs w:val="22"/>
                <w:vertAlign w:val="baseline"/>
                <w:lang w:val="en-US" w:eastAsia="zh-CN"/>
              </w:rPr>
              <w:t>2</w:t>
            </w:r>
          </w:p>
        </w:tc>
        <w:tc>
          <w:tcPr>
            <w:tcW w:w="1029" w:type="pct"/>
            <w:vAlign w:val="center"/>
          </w:tcPr>
          <w:p w14:paraId="0C8D2E65">
            <w:pPr>
              <w:keepNext w:val="0"/>
              <w:keepLines w:val="0"/>
              <w:widowControl/>
              <w:suppressLineNumbers w:val="0"/>
              <w:jc w:val="center"/>
              <w:textAlignment w:val="center"/>
              <w:rPr>
                <w:rFonts w:hint="default" w:ascii="Times New Roman" w:hAnsi="Times New Roman" w:eastAsia="宋体" w:cs="Times New Roman"/>
                <w:sz w:val="22"/>
                <w:szCs w:val="22"/>
                <w:vertAlign w:val="baseline"/>
                <w:lang w:eastAsia="zh-CN"/>
              </w:rPr>
            </w:pPr>
            <w:r>
              <w:rPr>
                <w:rFonts w:hint="default" w:ascii="Times New Roman" w:hAnsi="Times New Roman" w:eastAsia="宋体" w:cs="Times New Roman"/>
                <w:i w:val="0"/>
                <w:iCs w:val="0"/>
                <w:color w:val="000000"/>
                <w:kern w:val="0"/>
                <w:sz w:val="22"/>
                <w:szCs w:val="22"/>
                <w:u w:val="none"/>
                <w:lang w:val="en-US" w:eastAsia="zh-CN" w:bidi="ar"/>
              </w:rPr>
              <w:t>跌落</w:t>
            </w:r>
          </w:p>
        </w:tc>
        <w:tc>
          <w:tcPr>
            <w:tcW w:w="1225" w:type="pct"/>
            <w:shd w:val="clear" w:color="auto" w:fill="auto"/>
            <w:vAlign w:val="center"/>
          </w:tcPr>
          <w:p w14:paraId="2C4E336E">
            <w:pPr>
              <w:keepNext w:val="0"/>
              <w:keepLines w:val="0"/>
              <w:widowControl/>
              <w:suppressLineNumbers w:val="0"/>
              <w:jc w:val="center"/>
              <w:textAlignment w:val="center"/>
              <w:rPr>
                <w:rFonts w:hint="default" w:ascii="Times New Roman" w:hAnsi="Times New Roman" w:eastAsia="宋体" w:cs="Times New Roman"/>
                <w:kern w:val="2"/>
                <w:sz w:val="22"/>
                <w:szCs w:val="22"/>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shd w:val="clear" w:color="auto" w:fill="auto"/>
            <w:vAlign w:val="center"/>
          </w:tcPr>
          <w:p w14:paraId="5F6075E9">
            <w:pPr>
              <w:keepNext w:val="0"/>
              <w:keepLines w:val="0"/>
              <w:widowControl/>
              <w:suppressLineNumbers w:val="0"/>
              <w:jc w:val="center"/>
              <w:textAlignment w:val="center"/>
              <w:rPr>
                <w:rFonts w:hint="default" w:ascii="Times New Roman" w:hAnsi="Times New Roman" w:eastAsia="宋体" w:cs="Times New Roman"/>
                <w:kern w:val="2"/>
                <w:sz w:val="22"/>
                <w:szCs w:val="22"/>
                <w:vertAlign w:val="baseline"/>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shd w:val="clear" w:color="auto" w:fill="auto"/>
            <w:vAlign w:val="center"/>
          </w:tcPr>
          <w:p w14:paraId="3126CC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1ED3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2CDC7D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1029" w:type="pct"/>
            <w:vAlign w:val="center"/>
          </w:tcPr>
          <w:p w14:paraId="71F17EE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工作温度下的泄漏电流</w:t>
            </w:r>
          </w:p>
        </w:tc>
        <w:tc>
          <w:tcPr>
            <w:tcW w:w="1225" w:type="pct"/>
            <w:vAlign w:val="center"/>
          </w:tcPr>
          <w:p w14:paraId="10A6E0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vAlign w:val="center"/>
          </w:tcPr>
          <w:p w14:paraId="5EF10C7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vAlign w:val="center"/>
          </w:tcPr>
          <w:p w14:paraId="2BE88D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4695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3AEC2E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1029" w:type="pct"/>
            <w:vAlign w:val="center"/>
          </w:tcPr>
          <w:p w14:paraId="21214A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电气强度</w:t>
            </w:r>
          </w:p>
        </w:tc>
        <w:tc>
          <w:tcPr>
            <w:tcW w:w="1225" w:type="pct"/>
            <w:vAlign w:val="center"/>
          </w:tcPr>
          <w:p w14:paraId="2DA049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vAlign w:val="center"/>
          </w:tcPr>
          <w:p w14:paraId="45F2F93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vAlign w:val="center"/>
          </w:tcPr>
          <w:p w14:paraId="33CDE72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3008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5D5F42D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1029" w:type="pct"/>
            <w:vAlign w:val="center"/>
          </w:tcPr>
          <w:p w14:paraId="1301AC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防触电保护</w:t>
            </w:r>
          </w:p>
        </w:tc>
        <w:tc>
          <w:tcPr>
            <w:tcW w:w="1225" w:type="pct"/>
            <w:vAlign w:val="center"/>
          </w:tcPr>
          <w:p w14:paraId="17793C3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vAlign w:val="center"/>
          </w:tcPr>
          <w:p w14:paraId="141D937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vAlign w:val="center"/>
          </w:tcPr>
          <w:p w14:paraId="1FCE7255">
            <w:pPr>
              <w:keepNext w:val="0"/>
              <w:keepLines w:val="0"/>
              <w:widowControl/>
              <w:suppressLineNumbers w:val="0"/>
              <w:jc w:val="center"/>
              <w:textAlignment w:val="center"/>
              <w:rPr>
                <w:rFonts w:hint="default" w:ascii="Times New Roman" w:hAnsi="Times New Roman" w:eastAsia="宋体" w:cs="Times New Roman"/>
                <w:i w:val="0"/>
                <w:iCs w:val="0"/>
                <w:strike/>
                <w:dstrike w:val="0"/>
                <w:color w:val="000000"/>
                <w:kern w:val="0"/>
                <w:sz w:val="22"/>
                <w:szCs w:val="22"/>
                <w:u w:val="none"/>
                <w:lang w:val="en-US" w:eastAsia="zh-CN" w:bidi="ar"/>
              </w:rPr>
            </w:pPr>
          </w:p>
        </w:tc>
      </w:tr>
      <w:tr w14:paraId="789D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2FB1424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1029" w:type="pct"/>
            <w:shd w:val="clear" w:color="auto" w:fill="auto"/>
            <w:vAlign w:val="center"/>
          </w:tcPr>
          <w:p w14:paraId="2A8D244E">
            <w:pPr>
              <w:snapToGrid w:val="0"/>
              <w:spacing w:line="30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非正常工作</w:t>
            </w:r>
          </w:p>
        </w:tc>
        <w:tc>
          <w:tcPr>
            <w:tcW w:w="1225" w:type="pct"/>
            <w:shd w:val="clear" w:color="auto" w:fill="auto"/>
            <w:vAlign w:val="center"/>
          </w:tcPr>
          <w:p w14:paraId="0B1754D5">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vAlign w:val="center"/>
          </w:tcPr>
          <w:p w14:paraId="02A1519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vAlign w:val="center"/>
          </w:tcPr>
          <w:p w14:paraId="7F6A9E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szCs w:val="21"/>
              </w:rPr>
              <w:t>仅测5.2.5.1、5.2.5.2</w:t>
            </w:r>
          </w:p>
        </w:tc>
      </w:tr>
      <w:tr w14:paraId="079E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3413EBD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1029" w:type="pct"/>
            <w:shd w:val="clear" w:color="auto" w:fill="auto"/>
            <w:vAlign w:val="center"/>
          </w:tcPr>
          <w:p w14:paraId="45E52B19">
            <w:pPr>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超温保护</w:t>
            </w:r>
          </w:p>
        </w:tc>
        <w:tc>
          <w:tcPr>
            <w:tcW w:w="1225" w:type="pct"/>
            <w:shd w:val="clear" w:color="auto" w:fill="auto"/>
            <w:vAlign w:val="center"/>
          </w:tcPr>
          <w:p w14:paraId="11A5873B">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shd w:val="clear" w:color="auto" w:fill="auto"/>
            <w:vAlign w:val="center"/>
          </w:tcPr>
          <w:p w14:paraId="290324B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shd w:val="clear" w:color="auto" w:fill="auto"/>
            <w:vAlign w:val="center"/>
          </w:tcPr>
          <w:p w14:paraId="61E240C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3672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23D090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1029" w:type="pct"/>
            <w:shd w:val="clear" w:color="auto" w:fill="auto"/>
            <w:vAlign w:val="center"/>
          </w:tcPr>
          <w:p w14:paraId="4CB371FF">
            <w:pPr>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过充切断</w:t>
            </w:r>
          </w:p>
        </w:tc>
        <w:tc>
          <w:tcPr>
            <w:tcW w:w="1225" w:type="pct"/>
            <w:shd w:val="clear" w:color="auto" w:fill="auto"/>
            <w:vAlign w:val="center"/>
          </w:tcPr>
          <w:p w14:paraId="1C5007CA">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shd w:val="clear" w:color="auto" w:fill="auto"/>
            <w:vAlign w:val="center"/>
          </w:tcPr>
          <w:p w14:paraId="0B5436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shd w:val="clear" w:color="auto" w:fill="auto"/>
            <w:vAlign w:val="center"/>
          </w:tcPr>
          <w:p w14:paraId="5233CA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r w14:paraId="66CC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38EDDE2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1029" w:type="pct"/>
            <w:vAlign w:val="center"/>
          </w:tcPr>
          <w:p w14:paraId="5D37B8A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耐热</w:t>
            </w:r>
          </w:p>
        </w:tc>
        <w:tc>
          <w:tcPr>
            <w:tcW w:w="1225" w:type="pct"/>
            <w:vAlign w:val="center"/>
          </w:tcPr>
          <w:p w14:paraId="6634C1A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vAlign w:val="center"/>
          </w:tcPr>
          <w:p w14:paraId="5C2E0D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vAlign w:val="center"/>
          </w:tcPr>
          <w:p w14:paraId="1BD8B609">
            <w:pPr>
              <w:keepNext w:val="0"/>
              <w:keepLines w:val="0"/>
              <w:widowControl/>
              <w:suppressLineNumbers w:val="0"/>
              <w:jc w:val="center"/>
              <w:textAlignment w:val="center"/>
              <w:rPr>
                <w:rFonts w:hint="default" w:ascii="Times New Roman" w:hAnsi="Times New Roman" w:eastAsia="宋体" w:cs="Times New Roman"/>
                <w:i w:val="0"/>
                <w:iCs w:val="0"/>
                <w:strike w:val="0"/>
                <w:dstrike w:val="0"/>
                <w:color w:val="000000"/>
                <w:kern w:val="0"/>
                <w:sz w:val="22"/>
                <w:szCs w:val="22"/>
                <w:u w:val="none"/>
                <w:lang w:val="en-US" w:eastAsia="zh-CN" w:bidi="ar"/>
              </w:rPr>
            </w:pPr>
            <w:r>
              <w:rPr>
                <w:rFonts w:hint="default" w:ascii="Times New Roman" w:hAnsi="Times New Roman" w:eastAsia="宋体" w:cs="Times New Roman"/>
                <w:i w:val="0"/>
                <w:iCs w:val="0"/>
                <w:strike w:val="0"/>
                <w:dstrike w:val="0"/>
                <w:color w:val="000000"/>
                <w:kern w:val="0"/>
                <w:sz w:val="22"/>
                <w:szCs w:val="22"/>
                <w:u w:val="none"/>
                <w:lang w:val="en-US" w:eastAsia="zh-CN" w:bidi="ar"/>
              </w:rPr>
              <w:t>只做外壳</w:t>
            </w:r>
          </w:p>
        </w:tc>
      </w:tr>
      <w:tr w14:paraId="034D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09A4EA9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1029" w:type="pct"/>
            <w:vAlign w:val="center"/>
          </w:tcPr>
          <w:p w14:paraId="0B19518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color w:val="000000"/>
                <w:szCs w:val="21"/>
              </w:rPr>
              <w:t>灼热丝</w:t>
            </w:r>
          </w:p>
        </w:tc>
        <w:tc>
          <w:tcPr>
            <w:tcW w:w="1225" w:type="pct"/>
            <w:shd w:val="clear" w:color="auto" w:fill="auto"/>
            <w:vAlign w:val="center"/>
          </w:tcPr>
          <w:p w14:paraId="6A5027F2">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5" w:type="pct"/>
            <w:shd w:val="clear" w:color="auto" w:fill="auto"/>
            <w:vAlign w:val="center"/>
          </w:tcPr>
          <w:p w14:paraId="12952C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w:t>
            </w:r>
          </w:p>
        </w:tc>
        <w:tc>
          <w:tcPr>
            <w:tcW w:w="1226" w:type="pct"/>
            <w:shd w:val="clear" w:color="auto" w:fill="auto"/>
            <w:vAlign w:val="center"/>
          </w:tcPr>
          <w:p w14:paraId="0337A7E3">
            <w:pPr>
              <w:keepNext w:val="0"/>
              <w:keepLines w:val="0"/>
              <w:widowControl/>
              <w:suppressLineNumbers w:val="0"/>
              <w:jc w:val="center"/>
              <w:textAlignment w:val="center"/>
              <w:rPr>
                <w:rFonts w:hint="default" w:ascii="Times New Roman" w:hAnsi="Times New Roman" w:eastAsia="宋体" w:cs="Times New Roman"/>
                <w:i w:val="0"/>
                <w:iCs w:val="0"/>
                <w:strike w:val="0"/>
                <w:color w:val="000000"/>
                <w:kern w:val="0"/>
                <w:sz w:val="22"/>
                <w:szCs w:val="22"/>
                <w:u w:val="none"/>
                <w:lang w:val="en-US" w:eastAsia="zh-CN" w:bidi="ar"/>
              </w:rPr>
            </w:pPr>
            <w:r>
              <w:rPr>
                <w:rFonts w:hint="default" w:ascii="Times New Roman" w:hAnsi="Times New Roman" w:eastAsia="宋体" w:cs="Times New Roman"/>
                <w:i w:val="0"/>
                <w:iCs w:val="0"/>
                <w:strike w:val="0"/>
                <w:dstrike w:val="0"/>
                <w:color w:val="000000"/>
                <w:kern w:val="0"/>
                <w:sz w:val="22"/>
                <w:szCs w:val="22"/>
                <w:u w:val="none"/>
                <w:lang w:val="en-US" w:eastAsia="zh-CN" w:bidi="ar"/>
              </w:rPr>
              <w:t>只做外壳</w:t>
            </w:r>
          </w:p>
        </w:tc>
      </w:tr>
      <w:tr w14:paraId="148D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trPr>
        <w:tc>
          <w:tcPr>
            <w:tcW w:w="293" w:type="pct"/>
            <w:vAlign w:val="center"/>
          </w:tcPr>
          <w:p w14:paraId="2677931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1029" w:type="pct"/>
            <w:vAlign w:val="center"/>
          </w:tcPr>
          <w:p w14:paraId="2BC1B28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编码</w:t>
            </w:r>
          </w:p>
        </w:tc>
        <w:tc>
          <w:tcPr>
            <w:tcW w:w="1225" w:type="pct"/>
            <w:vAlign w:val="center"/>
          </w:tcPr>
          <w:p w14:paraId="5843EE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42296—2022及第1号修改单</w:t>
            </w:r>
          </w:p>
        </w:tc>
        <w:tc>
          <w:tcPr>
            <w:tcW w:w="1225" w:type="pct"/>
            <w:vAlign w:val="center"/>
          </w:tcPr>
          <w:p w14:paraId="6905C29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r>
              <w:rPr>
                <w:rFonts w:hint="default" w:ascii="Times New Roman" w:hAnsi="Times New Roman" w:eastAsia="宋体" w:cs="Times New Roman"/>
                <w:i w:val="0"/>
                <w:iCs w:val="0"/>
                <w:color w:val="000000"/>
                <w:kern w:val="0"/>
                <w:sz w:val="22"/>
                <w:szCs w:val="22"/>
                <w:u w:val="none"/>
                <w:lang w:val="en-US" w:eastAsia="zh-CN" w:bidi="ar"/>
              </w:rPr>
              <w:t>GB 42296—2022及第1号修改单</w:t>
            </w:r>
          </w:p>
        </w:tc>
        <w:tc>
          <w:tcPr>
            <w:tcW w:w="1226" w:type="pct"/>
            <w:vAlign w:val="center"/>
          </w:tcPr>
          <w:p w14:paraId="556DCF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2"/>
                <w:szCs w:val="22"/>
                <w:u w:val="none"/>
                <w:lang w:val="en-US" w:eastAsia="zh-CN" w:bidi="ar"/>
              </w:rPr>
            </w:pPr>
          </w:p>
        </w:tc>
      </w:tr>
    </w:tbl>
    <w:p w14:paraId="3574DD19">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0C09FF8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5DE8A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42296—2022 电动自行车用充电器安全技术要求</w:t>
      </w:r>
      <w:r>
        <w:rPr>
          <w:rFonts w:hint="default" w:ascii="Times New Roman" w:hAnsi="Times New Roman" w:eastAsia="宋体" w:cs="Times New Roman"/>
          <w:sz w:val="22"/>
          <w:szCs w:val="28"/>
          <w:lang w:val="en-US" w:eastAsia="zh-CN"/>
        </w:rPr>
        <w:t>及</w:t>
      </w:r>
      <w:r>
        <w:rPr>
          <w:rFonts w:hint="default" w:ascii="Times New Roman" w:hAnsi="Times New Roman" w:eastAsia="宋体" w:cs="Times New Roman"/>
          <w:sz w:val="22"/>
          <w:szCs w:val="28"/>
        </w:rPr>
        <w:t>第1号修改单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85A6FF8-31B5-4823-A009-6BC0C4DD4D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A56CA560-C606-4BB8-81A1-5EF331F5DC28}"/>
  </w:font>
  <w:font w:name="方正仿宋简体">
    <w:panose1 w:val="02000000000000000000"/>
    <w:charset w:val="86"/>
    <w:family w:val="script"/>
    <w:pitch w:val="default"/>
    <w:sig w:usb0="A00002BF" w:usb1="184F6CFA" w:usb2="00000012" w:usb3="00000000" w:csb0="00040001" w:csb1="00000000"/>
    <w:embedRegular r:id="rId3" w:fontKey="{1AAA4E15-0F31-43FF-B056-A4A4263291BA}"/>
  </w:font>
  <w:font w:name="WPSEMBED27">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8B701FA"/>
    <w:rsid w:val="0CB54784"/>
    <w:rsid w:val="0CD143AE"/>
    <w:rsid w:val="0D343503"/>
    <w:rsid w:val="0EA16002"/>
    <w:rsid w:val="13144FF5"/>
    <w:rsid w:val="149E7B87"/>
    <w:rsid w:val="156C55BC"/>
    <w:rsid w:val="1D3429EE"/>
    <w:rsid w:val="1E7B23CC"/>
    <w:rsid w:val="222A1341"/>
    <w:rsid w:val="23035B1D"/>
    <w:rsid w:val="29B570DA"/>
    <w:rsid w:val="2B4863B8"/>
    <w:rsid w:val="2B830B12"/>
    <w:rsid w:val="2B8B5795"/>
    <w:rsid w:val="2E5977D4"/>
    <w:rsid w:val="2E8C4181"/>
    <w:rsid w:val="2ED81174"/>
    <w:rsid w:val="2F9309E8"/>
    <w:rsid w:val="38A81BB8"/>
    <w:rsid w:val="39BE0417"/>
    <w:rsid w:val="3CEC64E8"/>
    <w:rsid w:val="408E5B37"/>
    <w:rsid w:val="42C54070"/>
    <w:rsid w:val="43081BD1"/>
    <w:rsid w:val="439E0D9F"/>
    <w:rsid w:val="46050649"/>
    <w:rsid w:val="46F26E20"/>
    <w:rsid w:val="470C0994"/>
    <w:rsid w:val="4784148B"/>
    <w:rsid w:val="48797678"/>
    <w:rsid w:val="49C74598"/>
    <w:rsid w:val="4C6D02BD"/>
    <w:rsid w:val="4E227B86"/>
    <w:rsid w:val="4E3A2F69"/>
    <w:rsid w:val="523C53F3"/>
    <w:rsid w:val="534D3EB1"/>
    <w:rsid w:val="56A02CA6"/>
    <w:rsid w:val="58705DF6"/>
    <w:rsid w:val="592E4311"/>
    <w:rsid w:val="649B4036"/>
    <w:rsid w:val="68932257"/>
    <w:rsid w:val="6C1F3963"/>
    <w:rsid w:val="6E79418D"/>
    <w:rsid w:val="6F3A5E69"/>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766</Words>
  <Characters>971</Characters>
  <Lines>0</Lines>
  <Paragraphs>0</Paragraphs>
  <TotalTime>1</TotalTime>
  <ScaleCrop>false</ScaleCrop>
  <LinksUpToDate>false</LinksUpToDate>
  <CharactersWithSpaces>1000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2026-07-02T03:28:08Z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508567FAAC7C4AB2B15C9C23D022DF48_13</vt:lpwstr>
  </property>
  <property fmtid="{D5CDD505-2E9C-101B-9397-08002B2CF9AE}" pid="4" name="KSOTemplateDocerSaveRecord">
    <vt:lpwstr>eyJoZGlkIjoiYjU4YTEyOWI0YTA1NzExMDUyM2E4NzRjZjM1MmQ2OWEiLCJ1c2VySWQiOiIxMTI2NTcyODI0In0=</vt:lpwstr>
  </property>
</Properties>
</file>